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A7827" w14:textId="578CE515" w:rsidR="0004264D" w:rsidRDefault="76AFEF59" w:rsidP="006F52E9">
      <w:pPr>
        <w:pStyle w:val="Heading1"/>
        <w:rPr>
          <w:rFonts w:ascii="Arial" w:hAnsi="Arial" w:cs="Arial"/>
          <w:color w:val="auto"/>
          <w:sz w:val="52"/>
          <w:szCs w:val="52"/>
        </w:rPr>
      </w:pPr>
      <w:r w:rsidRPr="5A0D12DB">
        <w:rPr>
          <w:rFonts w:ascii="Arial" w:hAnsi="Arial" w:cs="Arial"/>
          <w:color w:val="auto"/>
          <w:sz w:val="52"/>
          <w:szCs w:val="52"/>
        </w:rPr>
        <w:t xml:space="preserve">Bilaga </w:t>
      </w:r>
      <w:r w:rsidR="006F52E9" w:rsidRPr="5A0D12DB">
        <w:rPr>
          <w:rFonts w:ascii="Arial" w:hAnsi="Arial" w:cs="Arial"/>
          <w:color w:val="auto"/>
          <w:sz w:val="52"/>
          <w:szCs w:val="52"/>
        </w:rPr>
        <w:t>Videokonferens IUC Paket</w:t>
      </w:r>
    </w:p>
    <w:p w14:paraId="672A6659" w14:textId="77777777" w:rsidR="006F52E9" w:rsidRDefault="006F52E9" w:rsidP="006F52E9"/>
    <w:p w14:paraId="1A3AEC64" w14:textId="77777777" w:rsidR="00F21D25" w:rsidRPr="00F21D25" w:rsidRDefault="00F21D25" w:rsidP="00F21D25">
      <w:pPr>
        <w:pStyle w:val="Heading2"/>
        <w:rPr>
          <w:rFonts w:ascii="Arial" w:hAnsi="Arial" w:cs="Arial"/>
          <w:color w:val="auto"/>
          <w:sz w:val="28"/>
          <w:szCs w:val="28"/>
        </w:rPr>
      </w:pPr>
      <w:bookmarkStart w:id="0" w:name="_Toc43999447"/>
      <w:r w:rsidRPr="00F21D25">
        <w:rPr>
          <w:rFonts w:ascii="Arial" w:hAnsi="Arial" w:cs="Arial"/>
          <w:color w:val="auto"/>
          <w:sz w:val="28"/>
          <w:szCs w:val="28"/>
        </w:rPr>
        <w:t>B</w:t>
      </w:r>
      <w:bookmarkEnd w:id="0"/>
      <w:r>
        <w:rPr>
          <w:rFonts w:ascii="Arial" w:hAnsi="Arial" w:cs="Arial"/>
          <w:color w:val="auto"/>
          <w:sz w:val="28"/>
          <w:szCs w:val="28"/>
        </w:rPr>
        <w:t>esiktningstjänst</w:t>
      </w:r>
    </w:p>
    <w:p w14:paraId="5F5AA48A" w14:textId="52B5195C" w:rsidR="00F21D25" w:rsidRDefault="00F21D25" w:rsidP="37E99B94">
      <w:pPr>
        <w:rPr>
          <w:rFonts w:ascii="Times New Roman" w:eastAsia="Times New Roman" w:hAnsi="Times New Roman" w:cs="Times New Roman"/>
        </w:rPr>
      </w:pPr>
      <w:r w:rsidRPr="37E99B94">
        <w:rPr>
          <w:rFonts w:ascii="Times New Roman" w:eastAsia="Times New Roman" w:hAnsi="Times New Roman" w:cs="Times New Roman"/>
        </w:rPr>
        <w:t xml:space="preserve">Det finns många olika möjligheter, lösningar och förutsättningar i varje unikt rum. </w:t>
      </w:r>
    </w:p>
    <w:p w14:paraId="5DAB6C7B" w14:textId="1EA7A5CF" w:rsidR="00F21D25" w:rsidRDefault="00F21D25" w:rsidP="7B880FF9">
      <w:pPr>
        <w:rPr>
          <w:rFonts w:ascii="Times New Roman" w:eastAsia="Times New Roman" w:hAnsi="Times New Roman" w:cs="Times New Roman"/>
        </w:rPr>
      </w:pPr>
      <w:r w:rsidRPr="7B880FF9">
        <w:rPr>
          <w:rFonts w:ascii="Times New Roman" w:eastAsia="Times New Roman" w:hAnsi="Times New Roman" w:cs="Times New Roman"/>
        </w:rPr>
        <w:t>Vi på Atea besöker er gärna för att tillsammans besikta ert rum, diskutera och inspirera för att sedan föreslå er bästa möjliga lösning utefter just era unika önskemål och förutsättningar.</w:t>
      </w:r>
      <w:r w:rsidR="53868F9D" w:rsidRPr="7B880FF9">
        <w:rPr>
          <w:rFonts w:ascii="Times New Roman" w:eastAsia="Times New Roman" w:hAnsi="Times New Roman" w:cs="Times New Roman"/>
        </w:rPr>
        <w:t xml:space="preserve"> Det finns möjlighet att hyra </w:t>
      </w:r>
      <w:proofErr w:type="spellStart"/>
      <w:r w:rsidR="53868F9D" w:rsidRPr="7B880FF9">
        <w:rPr>
          <w:rFonts w:ascii="Times New Roman" w:eastAsia="Times New Roman" w:hAnsi="Times New Roman" w:cs="Times New Roman"/>
        </w:rPr>
        <w:t>utrustningnen</w:t>
      </w:r>
      <w:proofErr w:type="spellEnd"/>
      <w:r w:rsidR="53868F9D" w:rsidRPr="7B880FF9">
        <w:rPr>
          <w:rFonts w:ascii="Times New Roman" w:eastAsia="Times New Roman" w:hAnsi="Times New Roman" w:cs="Times New Roman"/>
        </w:rPr>
        <w:t xml:space="preserve">, </w:t>
      </w:r>
      <w:r w:rsidR="2D8D5BEF" w:rsidRPr="7B880FF9">
        <w:rPr>
          <w:rFonts w:ascii="Times New Roman" w:eastAsia="Times New Roman" w:hAnsi="Times New Roman" w:cs="Times New Roman"/>
        </w:rPr>
        <w:t xml:space="preserve">för mer information ta kontakt med Christoffer Jämtner på Atea </w:t>
      </w:r>
      <w:proofErr w:type="spellStart"/>
      <w:r w:rsidR="008865DC">
        <w:rPr>
          <w:rFonts w:ascii="Times New Roman" w:eastAsia="Times New Roman" w:hAnsi="Times New Roman" w:cs="Times New Roman"/>
        </w:rPr>
        <w:t>tel</w:t>
      </w:r>
      <w:proofErr w:type="spellEnd"/>
      <w:r w:rsidR="008865DC">
        <w:rPr>
          <w:rFonts w:ascii="Times New Roman" w:eastAsia="Times New Roman" w:hAnsi="Times New Roman" w:cs="Times New Roman"/>
        </w:rPr>
        <w:t xml:space="preserve">: </w:t>
      </w:r>
      <w:r w:rsidR="2D8D5BEF" w:rsidRPr="7B880FF9">
        <w:rPr>
          <w:rFonts w:ascii="Times New Roman" w:eastAsia="Times New Roman" w:hAnsi="Times New Roman" w:cs="Times New Roman"/>
        </w:rPr>
        <w:t>+46 73 862 25 02</w:t>
      </w:r>
      <w:r w:rsidR="6308C1D5" w:rsidRPr="7B880FF9">
        <w:rPr>
          <w:rFonts w:ascii="Times New Roman" w:eastAsia="Times New Roman" w:hAnsi="Times New Roman" w:cs="Times New Roman"/>
        </w:rPr>
        <w:t>,</w:t>
      </w:r>
      <w:r w:rsidR="008865DC">
        <w:rPr>
          <w:rFonts w:ascii="Times New Roman" w:eastAsia="Times New Roman" w:hAnsi="Times New Roman" w:cs="Times New Roman"/>
        </w:rPr>
        <w:t xml:space="preserve"> email: </w:t>
      </w:r>
      <w:r w:rsidR="6308C1D5" w:rsidRPr="7B880FF9">
        <w:rPr>
          <w:rFonts w:ascii="Times New Roman" w:eastAsia="Times New Roman" w:hAnsi="Times New Roman" w:cs="Times New Roman"/>
        </w:rPr>
        <w:t>christoffer.jamtner@atea.se.</w:t>
      </w:r>
      <w:r w:rsidR="2D8D5BEF" w:rsidRPr="7B880FF9">
        <w:rPr>
          <w:rFonts w:ascii="Times New Roman" w:eastAsia="Times New Roman" w:hAnsi="Times New Roman" w:cs="Times New Roman"/>
        </w:rPr>
        <w:t xml:space="preserve"> </w:t>
      </w:r>
      <w:r w:rsidR="53868F9D" w:rsidRPr="7B880FF9">
        <w:rPr>
          <w:rFonts w:ascii="Times New Roman" w:eastAsia="Times New Roman" w:hAnsi="Times New Roman" w:cs="Times New Roman"/>
        </w:rPr>
        <w:t xml:space="preserve"> </w:t>
      </w:r>
    </w:p>
    <w:p w14:paraId="77DAB76C" w14:textId="77777777" w:rsidR="00F21D25" w:rsidRDefault="00F21D25" w:rsidP="00F21D25">
      <w:pPr>
        <w:pStyle w:val="Heading3"/>
        <w:rPr>
          <w:rFonts w:ascii="Arial" w:hAnsi="Arial" w:cs="Arial"/>
          <w:color w:val="auto"/>
        </w:rPr>
      </w:pPr>
      <w:bookmarkStart w:id="1" w:name="_Toc43999448"/>
      <w:r w:rsidRPr="00F21D25">
        <w:rPr>
          <w:rFonts w:ascii="Arial" w:hAnsi="Arial" w:cs="Arial"/>
          <w:color w:val="auto"/>
        </w:rPr>
        <w:t>Exempel på förutsättningar</w:t>
      </w:r>
      <w:bookmarkEnd w:id="1"/>
    </w:p>
    <w:p w14:paraId="02EB378F" w14:textId="77777777" w:rsidR="00F21D25" w:rsidRPr="00F21D25" w:rsidRDefault="00F21D25" w:rsidP="00F21D25"/>
    <w:p w14:paraId="7F3FAB70" w14:textId="77777777" w:rsidR="00F21D25" w:rsidRPr="00F21D25" w:rsidRDefault="00F21D25" w:rsidP="00F21D25">
      <w:pPr>
        <w:pStyle w:val="ListBullet"/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Ljusinsläpp</w:t>
      </w:r>
    </w:p>
    <w:p w14:paraId="7D580B1D" w14:textId="77777777" w:rsidR="00F21D25" w:rsidRPr="00F21D25" w:rsidRDefault="00F21D25" w:rsidP="00F21D25">
      <w:pPr>
        <w:pStyle w:val="ListBullet"/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Storlek på rummet</w:t>
      </w:r>
    </w:p>
    <w:p w14:paraId="3F28E48A" w14:textId="77777777" w:rsidR="00F21D25" w:rsidRPr="00F21D25" w:rsidRDefault="00F21D25" w:rsidP="00F21D25">
      <w:pPr>
        <w:pStyle w:val="ListBullet"/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Rumskonstruktion</w:t>
      </w:r>
    </w:p>
    <w:p w14:paraId="20896507" w14:textId="77777777" w:rsidR="00F21D25" w:rsidRPr="00F21D25" w:rsidRDefault="00F21D25" w:rsidP="00F21D25">
      <w:pPr>
        <w:pStyle w:val="ListBullet"/>
        <w:numPr>
          <w:ilvl w:val="1"/>
          <w:numId w:val="3"/>
        </w:numPr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Väggar</w:t>
      </w:r>
    </w:p>
    <w:p w14:paraId="10747732" w14:textId="77777777" w:rsidR="00F21D25" w:rsidRPr="00F21D25" w:rsidRDefault="00F21D25" w:rsidP="00F21D25">
      <w:pPr>
        <w:pStyle w:val="ListBullet"/>
        <w:numPr>
          <w:ilvl w:val="1"/>
          <w:numId w:val="3"/>
        </w:numPr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Tak</w:t>
      </w:r>
    </w:p>
    <w:p w14:paraId="561CA29F" w14:textId="77777777" w:rsidR="00F21D25" w:rsidRPr="00F21D25" w:rsidRDefault="00F21D25" w:rsidP="00F21D25">
      <w:pPr>
        <w:pStyle w:val="ListBullet"/>
        <w:numPr>
          <w:ilvl w:val="1"/>
          <w:numId w:val="3"/>
        </w:numPr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Innertak</w:t>
      </w:r>
    </w:p>
    <w:p w14:paraId="2E292641" w14:textId="77777777" w:rsidR="00F21D25" w:rsidRPr="00F21D25" w:rsidRDefault="00F21D25" w:rsidP="00F21D25">
      <w:pPr>
        <w:pStyle w:val="ListBullet"/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Monteringsmöjligheter</w:t>
      </w:r>
    </w:p>
    <w:p w14:paraId="7B1FB7A6" w14:textId="77777777" w:rsidR="00F21D25" w:rsidRPr="00F21D25" w:rsidRDefault="00F21D25" w:rsidP="00F21D25">
      <w:pPr>
        <w:pStyle w:val="ListBullet"/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Placering av möbler lampor med mera.</w:t>
      </w:r>
    </w:p>
    <w:p w14:paraId="6618948C" w14:textId="77777777" w:rsidR="00F21D25" w:rsidRPr="00F21D25" w:rsidRDefault="00F21D25" w:rsidP="00F21D25">
      <w:pPr>
        <w:pStyle w:val="ListBullet"/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Installationsmöjligheter</w:t>
      </w:r>
    </w:p>
    <w:p w14:paraId="09E32171" w14:textId="77777777" w:rsidR="00F21D25" w:rsidRPr="00F21D25" w:rsidRDefault="00F21D25" w:rsidP="00F21D25">
      <w:pPr>
        <w:pStyle w:val="ListBullet"/>
        <w:numPr>
          <w:ilvl w:val="1"/>
          <w:numId w:val="3"/>
        </w:numPr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Kabelvägar</w:t>
      </w:r>
    </w:p>
    <w:p w14:paraId="601A5FF9" w14:textId="77777777" w:rsidR="00F21D25" w:rsidRPr="00F21D25" w:rsidRDefault="00F21D25" w:rsidP="00F21D25">
      <w:pPr>
        <w:pStyle w:val="ListBullet"/>
        <w:numPr>
          <w:ilvl w:val="1"/>
          <w:numId w:val="3"/>
        </w:numPr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 xml:space="preserve">Monteringslister </w:t>
      </w:r>
    </w:p>
    <w:p w14:paraId="695181B1" w14:textId="77777777" w:rsidR="00F21D25" w:rsidRPr="00F21D25" w:rsidRDefault="00F21D25" w:rsidP="00F21D25">
      <w:pPr>
        <w:pStyle w:val="ListBullet"/>
        <w:numPr>
          <w:ilvl w:val="1"/>
          <w:numId w:val="3"/>
        </w:numPr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Bordsgenomföringar</w:t>
      </w:r>
    </w:p>
    <w:p w14:paraId="5F76A273" w14:textId="77777777" w:rsidR="00F21D25" w:rsidRPr="00F21D25" w:rsidRDefault="00F21D25" w:rsidP="00F21D25">
      <w:pPr>
        <w:pStyle w:val="ListBullet"/>
        <w:numPr>
          <w:ilvl w:val="1"/>
          <w:numId w:val="3"/>
        </w:numPr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Takfästen</w:t>
      </w:r>
    </w:p>
    <w:p w14:paraId="3F08962A" w14:textId="77777777" w:rsidR="00F21D25" w:rsidRPr="00F21D25" w:rsidRDefault="00F21D25" w:rsidP="00F21D25">
      <w:pPr>
        <w:pStyle w:val="ListBullet"/>
        <w:numPr>
          <w:ilvl w:val="1"/>
          <w:numId w:val="3"/>
        </w:numPr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Väggfästen</w:t>
      </w:r>
    </w:p>
    <w:p w14:paraId="1694F762" w14:textId="77777777" w:rsidR="00F21D25" w:rsidRPr="00F21D25" w:rsidRDefault="00F21D25" w:rsidP="00F21D25">
      <w:pPr>
        <w:pStyle w:val="ListBullet"/>
        <w:numPr>
          <w:ilvl w:val="1"/>
          <w:numId w:val="3"/>
        </w:numPr>
        <w:rPr>
          <w:rFonts w:cs="Times New Roman"/>
          <w:sz w:val="22"/>
          <w:szCs w:val="22"/>
        </w:rPr>
      </w:pPr>
      <w:r w:rsidRPr="00F21D25">
        <w:rPr>
          <w:rFonts w:cs="Times New Roman"/>
          <w:sz w:val="22"/>
          <w:szCs w:val="22"/>
        </w:rPr>
        <w:t>Monteringskonsoler</w:t>
      </w:r>
    </w:p>
    <w:p w14:paraId="6A05A809" w14:textId="77777777" w:rsidR="00F21D25" w:rsidRDefault="00F21D25" w:rsidP="00F21D25">
      <w:pPr>
        <w:pStyle w:val="ListBullet"/>
        <w:numPr>
          <w:ilvl w:val="0"/>
          <w:numId w:val="0"/>
        </w:numPr>
        <w:ind w:left="284" w:hanging="284"/>
      </w:pPr>
    </w:p>
    <w:p w14:paraId="5A39BBE3" w14:textId="77777777" w:rsidR="00F21D25" w:rsidRDefault="00F21D25" w:rsidP="00F21D25">
      <w:pPr>
        <w:pStyle w:val="ListBullet"/>
        <w:numPr>
          <w:ilvl w:val="0"/>
          <w:numId w:val="0"/>
        </w:numPr>
        <w:ind w:left="284" w:hanging="284"/>
      </w:pPr>
    </w:p>
    <w:p w14:paraId="2F7B36ED" w14:textId="77777777" w:rsidR="00F21D25" w:rsidRPr="00F21D25" w:rsidRDefault="00F21D25" w:rsidP="00F21D25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F21D25">
        <w:rPr>
          <w:rFonts w:ascii="Arial" w:hAnsi="Arial" w:cs="Arial"/>
          <w:color w:val="auto"/>
          <w:sz w:val="28"/>
          <w:szCs w:val="28"/>
        </w:rPr>
        <w:t>Pris besiktning</w:t>
      </w:r>
    </w:p>
    <w:p w14:paraId="226DF98C" w14:textId="77777777" w:rsidR="00F21D25" w:rsidRDefault="00F21D25" w:rsidP="00F21D25">
      <w:pPr>
        <w:rPr>
          <w:rFonts w:ascii="Times New Roman" w:hAnsi="Times New Roman" w:cs="Times New Roman"/>
        </w:rPr>
      </w:pPr>
      <w:r w:rsidRPr="00F21D25">
        <w:rPr>
          <w:rFonts w:ascii="Times New Roman" w:hAnsi="Times New Roman" w:cs="Times New Roman"/>
        </w:rPr>
        <w:t>Fastpris 850 SEK</w:t>
      </w:r>
    </w:p>
    <w:p w14:paraId="58E7B7C6" w14:textId="77777777" w:rsidR="00F21D25" w:rsidRPr="00F21D25" w:rsidRDefault="00F21D25" w:rsidP="00F21D25">
      <w:pPr>
        <w:rPr>
          <w:rFonts w:ascii="Times New Roman" w:hAnsi="Times New Roman" w:cs="Times New Roman"/>
        </w:rPr>
      </w:pPr>
      <w:r w:rsidRPr="00F21D25">
        <w:rPr>
          <w:rFonts w:ascii="Times New Roman" w:hAnsi="Times New Roman" w:cs="Times New Roman"/>
        </w:rPr>
        <w:t>Innefattar antal rum som vi hinner på 1 timme</w:t>
      </w:r>
    </w:p>
    <w:p w14:paraId="4E1889C8" w14:textId="77777777" w:rsidR="00F21D25" w:rsidRPr="00F21D25" w:rsidRDefault="00F21D25" w:rsidP="00F21D25">
      <w:pPr>
        <w:rPr>
          <w:rFonts w:ascii="Times New Roman" w:hAnsi="Times New Roman" w:cs="Times New Roman"/>
        </w:rPr>
      </w:pPr>
      <w:r w:rsidRPr="00F21D25">
        <w:rPr>
          <w:rFonts w:ascii="Times New Roman" w:hAnsi="Times New Roman" w:cs="Times New Roman"/>
        </w:rPr>
        <w:t>Ingår ett lösningsförslag</w:t>
      </w:r>
    </w:p>
    <w:p w14:paraId="41C8F396" w14:textId="77777777" w:rsidR="00F21D25" w:rsidRDefault="00F21D25" w:rsidP="00F21D25">
      <w:r>
        <w:br w:type="page"/>
      </w:r>
    </w:p>
    <w:p w14:paraId="12D4D278" w14:textId="77777777" w:rsidR="006F52E9" w:rsidRPr="008B3812" w:rsidRDefault="006F52E9" w:rsidP="006F52E9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8B3812">
        <w:rPr>
          <w:rFonts w:ascii="Arial" w:hAnsi="Arial" w:cs="Arial"/>
          <w:color w:val="auto"/>
          <w:sz w:val="28"/>
          <w:szCs w:val="28"/>
        </w:rPr>
        <w:lastRenderedPageBreak/>
        <w:t>Paket 1 små rum</w:t>
      </w:r>
      <w:r w:rsidR="00B1010B">
        <w:rPr>
          <w:rFonts w:ascii="Arial" w:hAnsi="Arial" w:cs="Arial"/>
          <w:color w:val="auto"/>
          <w:sz w:val="28"/>
          <w:szCs w:val="28"/>
        </w:rPr>
        <w:t xml:space="preserve"> (Upp till 6 deltagare)</w:t>
      </w:r>
    </w:p>
    <w:p w14:paraId="100158BF" w14:textId="77777777" w:rsidR="006F52E9" w:rsidRPr="006F52E9" w:rsidRDefault="006F52E9" w:rsidP="006F52E9">
      <w:pPr>
        <w:rPr>
          <w:rFonts w:ascii="Times New Roman" w:hAnsi="Times New Roman" w:cs="Times New Roman"/>
          <w:color w:val="222222"/>
          <w:shd w:val="clear" w:color="auto" w:fill="F8F9FA"/>
        </w:rPr>
      </w:pPr>
      <w:r w:rsidRPr="006F52E9">
        <w:rPr>
          <w:rFonts w:ascii="Times New Roman" w:hAnsi="Times New Roman" w:cs="Times New Roman"/>
          <w:color w:val="222222"/>
          <w:shd w:val="clear" w:color="auto" w:fill="F8F9FA"/>
        </w:rPr>
        <w:t xml:space="preserve">Allt-i-ett Konferenskamera med 120° diagonalt synfält, 4K optik och integrerat ljud. Perfekt för de mindre rummen. </w:t>
      </w:r>
    </w:p>
    <w:p w14:paraId="24083685" w14:textId="77777777" w:rsidR="008B3812" w:rsidRPr="008B3812" w:rsidRDefault="006F52E9" w:rsidP="008B3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3812">
        <w:rPr>
          <w:rFonts w:ascii="Times New Roman" w:hAnsi="Times New Roman" w:cs="Times New Roman"/>
          <w:color w:val="222222"/>
          <w:shd w:val="clear" w:color="auto" w:fill="F8F9FA"/>
        </w:rPr>
        <w:t xml:space="preserve">Se alla deltagare, även de nära kameran. </w:t>
      </w:r>
    </w:p>
    <w:p w14:paraId="3E8736DC" w14:textId="77777777" w:rsidR="008B3812" w:rsidRPr="008B3812" w:rsidRDefault="006F52E9" w:rsidP="008B3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3812">
        <w:rPr>
          <w:rFonts w:ascii="Times New Roman" w:hAnsi="Times New Roman" w:cs="Times New Roman"/>
          <w:color w:val="222222"/>
          <w:shd w:val="clear" w:color="auto" w:fill="F8F9FA"/>
        </w:rPr>
        <w:t>Kompakt design.</w:t>
      </w:r>
    </w:p>
    <w:p w14:paraId="431B6AAE" w14:textId="77777777" w:rsidR="008B3812" w:rsidRPr="008B3812" w:rsidRDefault="006F52E9" w:rsidP="008B3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3812">
        <w:rPr>
          <w:rFonts w:ascii="Times New Roman" w:hAnsi="Times New Roman" w:cs="Times New Roman"/>
          <w:color w:val="222222"/>
          <w:shd w:val="clear" w:color="auto" w:fill="F8F9FA"/>
        </w:rPr>
        <w:t>Minimalt med kablar.</w:t>
      </w:r>
    </w:p>
    <w:p w14:paraId="4BCFA66D" w14:textId="77777777" w:rsidR="006F52E9" w:rsidRPr="008B3812" w:rsidRDefault="006F52E9" w:rsidP="008B3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3812">
        <w:rPr>
          <w:rFonts w:ascii="Times New Roman" w:hAnsi="Times New Roman" w:cs="Times New Roman"/>
          <w:color w:val="222222"/>
          <w:shd w:val="clear" w:color="auto" w:fill="F8F9FA"/>
        </w:rPr>
        <w:t>Fungerar med de flesta videokonferensapplikationerna.</w:t>
      </w:r>
    </w:p>
    <w:p w14:paraId="72A3D3EC" w14:textId="77777777" w:rsidR="006F52E9" w:rsidRDefault="006F52E9" w:rsidP="006F52E9">
      <w:pPr>
        <w:rPr>
          <w:rFonts w:ascii="Times New Roman" w:hAnsi="Times New Roman" w:cs="Times New Roman"/>
        </w:rPr>
      </w:pPr>
    </w:p>
    <w:p w14:paraId="0D0B940D" w14:textId="77777777" w:rsidR="006F52E9" w:rsidRDefault="006F52E9" w:rsidP="006F52E9">
      <w:r>
        <w:rPr>
          <w:noProof/>
        </w:rPr>
        <w:drawing>
          <wp:inline distT="0" distB="0" distL="0" distR="0" wp14:anchorId="7EC0D67C" wp14:editId="7B880FF9">
            <wp:extent cx="1882800" cy="1440000"/>
            <wp:effectExtent l="0" t="0" r="3175" b="8255"/>
            <wp:docPr id="93805659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2FCE4" w14:textId="77777777" w:rsidR="006F52E9" w:rsidRDefault="006F52E9" w:rsidP="006F52E9">
      <w:r>
        <w:rPr>
          <w:noProof/>
        </w:rPr>
        <w:drawing>
          <wp:anchor distT="0" distB="0" distL="114300" distR="114300" simplePos="0" relativeHeight="251659264" behindDoc="1" locked="0" layoutInCell="1" allowOverlap="1" wp14:anchorId="3546F6A6" wp14:editId="7E711C90">
            <wp:simplePos x="0" y="0"/>
            <wp:positionH relativeFrom="column">
              <wp:posOffset>-1270</wp:posOffset>
            </wp:positionH>
            <wp:positionV relativeFrom="paragraph">
              <wp:posOffset>168275</wp:posOffset>
            </wp:positionV>
            <wp:extent cx="2638425" cy="1130300"/>
            <wp:effectExtent l="0" t="0" r="9525" b="0"/>
            <wp:wrapTight wrapText="bothSides">
              <wp:wrapPolygon edited="0">
                <wp:start x="0" y="0"/>
                <wp:lineTo x="0" y="21115"/>
                <wp:lineTo x="21522" y="21115"/>
                <wp:lineTo x="215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461AD7B" wp14:editId="42493A8D">
            <wp:extent cx="2167200" cy="1440000"/>
            <wp:effectExtent l="0" t="0" r="5080" b="8255"/>
            <wp:docPr id="19" name="Picture 19" descr="LG TR3BF Series, 65TR3BF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G TR3BF Series, 65TR3BF-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5060"/>
        <w:gridCol w:w="1000"/>
        <w:gridCol w:w="1240"/>
        <w:gridCol w:w="1600"/>
      </w:tblGrid>
      <w:tr w:rsidR="006F52E9" w:rsidRPr="00A21273" w14:paraId="375E26F0" w14:textId="77777777" w:rsidTr="00B54C8E">
        <w:trPr>
          <w:trHeight w:val="37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1C898FF" w14:textId="77777777" w:rsidR="006F52E9" w:rsidRPr="008B3812" w:rsidRDefault="006F52E9" w:rsidP="00B54C8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proofErr w:type="spellStart"/>
            <w:r w:rsidRPr="008B38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Artnr</w:t>
            </w:r>
            <w:proofErr w:type="spell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1DD1B84" w14:textId="77777777" w:rsidR="006F52E9" w:rsidRPr="008B3812" w:rsidRDefault="006F52E9" w:rsidP="00B54C8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8B38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Beskrivning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25D8E8C" w14:textId="77777777" w:rsidR="006F52E9" w:rsidRPr="008B3812" w:rsidRDefault="006F52E9" w:rsidP="00B54C8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8B38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Antal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8711F3F" w14:textId="77777777" w:rsidR="006F52E9" w:rsidRPr="008B3812" w:rsidRDefault="006F52E9" w:rsidP="00B54C8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8B38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Pris/st.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EC6A25D" w14:textId="77777777" w:rsidR="006F52E9" w:rsidRPr="008B3812" w:rsidRDefault="006F52E9" w:rsidP="00B54C8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8B38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Pris totalt</w:t>
            </w:r>
          </w:p>
        </w:tc>
      </w:tr>
      <w:tr w:rsidR="006F52E9" w:rsidRPr="00A21273" w14:paraId="3BBEF780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4EE0C749" w14:textId="77777777" w:rsidR="006F52E9" w:rsidRPr="006F52E9" w:rsidRDefault="008B3812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960–001102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734303D0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Logitech </w:t>
            </w:r>
            <w:proofErr w:type="spellStart"/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MeetUp</w:t>
            </w:r>
            <w:proofErr w:type="spellEnd"/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- konferenskamera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649841BE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740EEAD8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8 095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48B626A4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8 095 kr</w:t>
            </w:r>
          </w:p>
        </w:tc>
      </w:tr>
      <w:tr w:rsidR="006F52E9" w:rsidRPr="00A21273" w14:paraId="59A12DC1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4BA92D5A" w14:textId="77777777" w:rsidR="006F52E9" w:rsidRPr="006F52E9" w:rsidRDefault="008B3812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939–001656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2CB2877C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Logitech TV MOUNT XL - kamerafäste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56B20A0C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10218467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1 289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01AD0C14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1 289 kr</w:t>
            </w:r>
          </w:p>
        </w:tc>
      </w:tr>
      <w:tr w:rsidR="006F52E9" w:rsidRPr="00A21273" w14:paraId="6B65C41E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14ED6857" w14:textId="77777777" w:rsidR="006F52E9" w:rsidRPr="006F52E9" w:rsidRDefault="008B3812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989–000405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37350881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Logitech EXPANSION MIC FOR MEETUP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249FAAB8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70291BA9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2 049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47F8B8EE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2 049 kr</w:t>
            </w:r>
          </w:p>
        </w:tc>
      </w:tr>
      <w:tr w:rsidR="006F52E9" w:rsidRPr="00A21273" w14:paraId="513115E4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0925CA1B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TAPMSTBASE/2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55F846D4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Logitech Tap for Microsoft Teams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19F14E3C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06F9D26E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24 213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0437382B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24 213 kr</w:t>
            </w:r>
          </w:p>
        </w:tc>
      </w:tr>
      <w:tr w:rsidR="006F52E9" w:rsidRPr="00A21273" w14:paraId="3E1A6927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39C1CF04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65TR3BF-B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74F9DA3A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LG 65TR3BF-B Signage Monitor 65inch UHD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065D2414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140FA55B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20 221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13150ED5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20 221 kr</w:t>
            </w:r>
          </w:p>
        </w:tc>
      </w:tr>
      <w:tr w:rsidR="006F52E9" w:rsidRPr="00A21273" w14:paraId="57A301A5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29DD940D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USB3SAB10M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351B1EAB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StarTech.com 30ft USB 3.0 USB-A to USB-B Cable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2E32D521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159DDE86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1 874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1145C96A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1 874 kr</w:t>
            </w:r>
          </w:p>
        </w:tc>
      </w:tr>
      <w:tr w:rsidR="006F52E9" w:rsidRPr="00A21273" w14:paraId="3EAD7DA4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7A7E8B0F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C281U018-1A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225CB170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SMS </w:t>
            </w:r>
            <w:proofErr w:type="spellStart"/>
            <w:r w:rsidRPr="006F52E9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Func</w:t>
            </w:r>
            <w:proofErr w:type="spellEnd"/>
            <w:r w:rsidRPr="006F52E9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 </w:t>
            </w:r>
            <w:proofErr w:type="spellStart"/>
            <w:r w:rsidRPr="006F52E9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Bracky</w:t>
            </w:r>
            <w:proofErr w:type="spellEnd"/>
            <w:r w:rsidRPr="006F52E9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 Landscape Stretch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0C50080F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5B047939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726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468CB856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726 kr</w:t>
            </w:r>
          </w:p>
        </w:tc>
      </w:tr>
      <w:tr w:rsidR="006F52E9" w:rsidRPr="00A21273" w14:paraId="5321626E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680537E0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5.</w:t>
            </w:r>
            <w:proofErr w:type="gramStart"/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01038.7043</w:t>
            </w:r>
            <w:proofErr w:type="gram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43897B95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Mjuk Golvlist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050B3AD0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249B006F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2 029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54F285F6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2 029 kr</w:t>
            </w:r>
          </w:p>
        </w:tc>
      </w:tr>
      <w:tr w:rsidR="006F52E9" w:rsidRPr="00A21273" w14:paraId="63871884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6F52E9" w:rsidRPr="006F52E9" w:rsidRDefault="006F52E9" w:rsidP="00466B94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ADFF36" w14:textId="77777777" w:rsidR="006F52E9" w:rsidRPr="006F52E9" w:rsidRDefault="006F52E9" w:rsidP="00466B94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6F52E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60 496 kr</w:t>
            </w:r>
          </w:p>
        </w:tc>
      </w:tr>
    </w:tbl>
    <w:p w14:paraId="0E27B00A" w14:textId="77777777" w:rsidR="006F52E9" w:rsidRPr="009F0EEF" w:rsidRDefault="006F52E9" w:rsidP="006F52E9"/>
    <w:p w14:paraId="6137977A" w14:textId="77777777" w:rsidR="006F52E9" w:rsidRPr="008B3812" w:rsidRDefault="006F52E9" w:rsidP="006F52E9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8B3812">
        <w:rPr>
          <w:rFonts w:ascii="Arial" w:hAnsi="Arial" w:cs="Arial"/>
          <w:color w:val="auto"/>
          <w:sz w:val="28"/>
          <w:szCs w:val="28"/>
        </w:rPr>
        <w:t>Pris Installation</w:t>
      </w:r>
    </w:p>
    <w:p w14:paraId="1348FE47" w14:textId="77777777" w:rsidR="00B1010B" w:rsidRDefault="006F52E9" w:rsidP="006F52E9">
      <w:pPr>
        <w:rPr>
          <w:rFonts w:ascii="Times New Roman" w:hAnsi="Times New Roman" w:cs="Times New Roman"/>
          <w:sz w:val="20"/>
          <w:szCs w:val="20"/>
        </w:rPr>
      </w:pPr>
      <w:r w:rsidRPr="006F52E9">
        <w:rPr>
          <w:rFonts w:ascii="Times New Roman" w:hAnsi="Times New Roman" w:cs="Times New Roman"/>
          <w:sz w:val="20"/>
          <w:szCs w:val="20"/>
        </w:rPr>
        <w:t>8 500 SEK exkl. förbrukningsmaterial</w:t>
      </w:r>
    </w:p>
    <w:p w14:paraId="60061E4C" w14:textId="77777777" w:rsidR="00F21D25" w:rsidRDefault="00F21D25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8D21272" w14:textId="77777777" w:rsidR="00B1010B" w:rsidRDefault="00B1010B" w:rsidP="00B1010B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8B3812">
        <w:rPr>
          <w:rFonts w:ascii="Arial" w:hAnsi="Arial" w:cs="Arial"/>
          <w:color w:val="auto"/>
          <w:sz w:val="28"/>
          <w:szCs w:val="28"/>
        </w:rPr>
        <w:lastRenderedPageBreak/>
        <w:t xml:space="preserve">Paket </w:t>
      </w:r>
      <w:r>
        <w:rPr>
          <w:rFonts w:ascii="Arial" w:hAnsi="Arial" w:cs="Arial"/>
          <w:color w:val="auto"/>
          <w:sz w:val="28"/>
          <w:szCs w:val="28"/>
        </w:rPr>
        <w:t>2</w:t>
      </w:r>
      <w:r w:rsidRPr="008B3812">
        <w:rPr>
          <w:rFonts w:ascii="Arial" w:hAnsi="Arial" w:cs="Arial"/>
          <w:color w:val="auto"/>
          <w:sz w:val="28"/>
          <w:szCs w:val="28"/>
        </w:rPr>
        <w:t xml:space="preserve"> </w:t>
      </w:r>
      <w:r w:rsidR="00F21D25">
        <w:rPr>
          <w:rFonts w:ascii="Arial" w:hAnsi="Arial" w:cs="Arial"/>
          <w:color w:val="auto"/>
          <w:sz w:val="28"/>
          <w:szCs w:val="28"/>
        </w:rPr>
        <w:t>s</w:t>
      </w:r>
      <w:r>
        <w:rPr>
          <w:rFonts w:ascii="Arial" w:hAnsi="Arial" w:cs="Arial"/>
          <w:color w:val="auto"/>
          <w:sz w:val="28"/>
          <w:szCs w:val="28"/>
        </w:rPr>
        <w:t>tora</w:t>
      </w:r>
      <w:r w:rsidRPr="008B3812">
        <w:rPr>
          <w:rFonts w:ascii="Arial" w:hAnsi="Arial" w:cs="Arial"/>
          <w:color w:val="auto"/>
          <w:sz w:val="28"/>
          <w:szCs w:val="28"/>
        </w:rPr>
        <w:t xml:space="preserve"> rum</w:t>
      </w:r>
      <w:r>
        <w:rPr>
          <w:rFonts w:ascii="Arial" w:hAnsi="Arial" w:cs="Arial"/>
          <w:color w:val="auto"/>
          <w:sz w:val="28"/>
          <w:szCs w:val="28"/>
        </w:rPr>
        <w:t xml:space="preserve"> (Upp till 16 deltagare)</w:t>
      </w:r>
    </w:p>
    <w:p w14:paraId="2B75B992" w14:textId="77777777" w:rsidR="00B1010B" w:rsidRPr="00B1010B" w:rsidRDefault="00B1010B" w:rsidP="00B1010B">
      <w:pPr>
        <w:rPr>
          <w:rFonts w:ascii="Times New Roman" w:hAnsi="Times New Roman" w:cs="Times New Roman"/>
        </w:rPr>
      </w:pPr>
      <w:r w:rsidRPr="37E99B94">
        <w:rPr>
          <w:rFonts w:ascii="Times New Roman" w:hAnsi="Times New Roman" w:cs="Times New Roman"/>
        </w:rPr>
        <w:t xml:space="preserve">Modulärt premium videokonferenssystem med oöverträffad video- och ljudprestanda. Med två högtalare och två </w:t>
      </w:r>
      <w:proofErr w:type="spellStart"/>
      <w:r w:rsidRPr="37E99B94">
        <w:rPr>
          <w:rFonts w:ascii="Times New Roman" w:hAnsi="Times New Roman" w:cs="Times New Roman"/>
        </w:rPr>
        <w:t>mic-pods</w:t>
      </w:r>
      <w:proofErr w:type="spellEnd"/>
      <w:r w:rsidRPr="37E99B94">
        <w:rPr>
          <w:rFonts w:ascii="Times New Roman" w:hAnsi="Times New Roman" w:cs="Times New Roman"/>
        </w:rPr>
        <w:t xml:space="preserve"> anpassar Rally Plus sig till valfri rumsform eller layout.</w:t>
      </w:r>
    </w:p>
    <w:p w14:paraId="0E8122BE" w14:textId="77777777" w:rsidR="00B1010B" w:rsidRDefault="00B1010B" w:rsidP="00B101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1010B">
        <w:rPr>
          <w:rFonts w:ascii="Times New Roman" w:hAnsi="Times New Roman" w:cs="Times New Roman"/>
        </w:rPr>
        <w:t>Ultra-HD-video med 4K-optik</w:t>
      </w:r>
    </w:p>
    <w:p w14:paraId="678EF74E" w14:textId="77777777" w:rsidR="00B1010B" w:rsidRDefault="00B1010B" w:rsidP="00B101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37E99B94">
        <w:rPr>
          <w:rFonts w:ascii="Times New Roman" w:hAnsi="Times New Roman" w:cs="Times New Roman"/>
        </w:rPr>
        <w:t>RightSense</w:t>
      </w:r>
      <w:proofErr w:type="spellEnd"/>
      <w:r w:rsidRPr="37E99B94">
        <w:rPr>
          <w:rFonts w:ascii="Times New Roman" w:hAnsi="Times New Roman" w:cs="Times New Roman"/>
        </w:rPr>
        <w:t>-teknologier med automatisk kamerakontroll, ljus- och ljudoptimering</w:t>
      </w:r>
    </w:p>
    <w:p w14:paraId="1A1DF85C" w14:textId="77777777" w:rsidR="00B1010B" w:rsidRDefault="00B1010B" w:rsidP="00B101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37E99B94">
        <w:rPr>
          <w:rFonts w:ascii="Times New Roman" w:hAnsi="Times New Roman" w:cs="Times New Roman"/>
        </w:rPr>
        <w:t xml:space="preserve">Modulärt ljud med två främre rumshögtalare och två </w:t>
      </w:r>
      <w:proofErr w:type="spellStart"/>
      <w:r w:rsidRPr="37E99B94">
        <w:rPr>
          <w:rFonts w:ascii="Times New Roman" w:hAnsi="Times New Roman" w:cs="Times New Roman"/>
        </w:rPr>
        <w:t>mic-pods</w:t>
      </w:r>
      <w:proofErr w:type="spellEnd"/>
    </w:p>
    <w:p w14:paraId="12A304C2" w14:textId="77777777" w:rsidR="00B1010B" w:rsidRDefault="00B1010B" w:rsidP="00B101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37E99B94">
        <w:rPr>
          <w:rFonts w:ascii="Times New Roman" w:hAnsi="Times New Roman" w:cs="Times New Roman"/>
        </w:rPr>
        <w:t xml:space="preserve">Komplettera med upp till sju totala </w:t>
      </w:r>
      <w:proofErr w:type="spellStart"/>
      <w:r w:rsidRPr="37E99B94">
        <w:rPr>
          <w:rFonts w:ascii="Times New Roman" w:hAnsi="Times New Roman" w:cs="Times New Roman"/>
        </w:rPr>
        <w:t>mic-pods</w:t>
      </w:r>
      <w:proofErr w:type="spellEnd"/>
      <w:r w:rsidRPr="37E99B94">
        <w:rPr>
          <w:rFonts w:ascii="Times New Roman" w:hAnsi="Times New Roman" w:cs="Times New Roman"/>
        </w:rPr>
        <w:t xml:space="preserve"> för utökat ljudområde</w:t>
      </w:r>
    </w:p>
    <w:p w14:paraId="5F6BF140" w14:textId="77777777" w:rsidR="00B1010B" w:rsidRPr="00B1010B" w:rsidRDefault="00B1010B" w:rsidP="00B101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3812">
        <w:rPr>
          <w:rFonts w:ascii="Times New Roman" w:hAnsi="Times New Roman" w:cs="Times New Roman"/>
          <w:color w:val="222222"/>
          <w:shd w:val="clear" w:color="auto" w:fill="F8F9FA"/>
        </w:rPr>
        <w:t>Fungerar med de flesta videokonferensapplikationerna.</w:t>
      </w:r>
    </w:p>
    <w:p w14:paraId="44EAFD9C" w14:textId="77777777" w:rsidR="00B1010B" w:rsidRPr="00B671D5" w:rsidRDefault="00B1010B" w:rsidP="00B1010B">
      <w:r>
        <w:rPr>
          <w:noProof/>
        </w:rPr>
        <w:drawing>
          <wp:inline distT="0" distB="0" distL="0" distR="0" wp14:anchorId="0BD4281B" wp14:editId="69697AA7">
            <wp:extent cx="1976400" cy="1440000"/>
            <wp:effectExtent l="0" t="0" r="5080" b="8255"/>
            <wp:docPr id="86490666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662A2" w14:textId="77777777" w:rsidR="00B1010B" w:rsidRPr="00AE6CDD" w:rsidRDefault="00B1010B" w:rsidP="00B1010B">
      <w:r>
        <w:rPr>
          <w:noProof/>
        </w:rPr>
        <w:drawing>
          <wp:anchor distT="0" distB="0" distL="114300" distR="114300" simplePos="0" relativeHeight="251661312" behindDoc="1" locked="0" layoutInCell="1" allowOverlap="1" wp14:anchorId="2DE7E11C" wp14:editId="33B3B707">
            <wp:simplePos x="0" y="0"/>
            <wp:positionH relativeFrom="column">
              <wp:posOffset>-1270</wp:posOffset>
            </wp:positionH>
            <wp:positionV relativeFrom="paragraph">
              <wp:posOffset>202565</wp:posOffset>
            </wp:positionV>
            <wp:extent cx="2567305" cy="1090930"/>
            <wp:effectExtent l="0" t="0" r="4445" b="0"/>
            <wp:wrapTight wrapText="bothSides">
              <wp:wrapPolygon edited="0">
                <wp:start x="0" y="0"/>
                <wp:lineTo x="0" y="21122"/>
                <wp:lineTo x="21477" y="21122"/>
                <wp:lineTo x="21477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08168CE" wp14:editId="4F9E5178">
            <wp:extent cx="2167200" cy="1440000"/>
            <wp:effectExtent l="0" t="0" r="5080" b="8255"/>
            <wp:docPr id="18" name="Picture 18" descr="LG TR3BF Series, 65TR3BF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G TR3BF Series, 65TR3BF-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40" w:type="dxa"/>
        <w:tblInd w:w="-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5060"/>
        <w:gridCol w:w="1000"/>
        <w:gridCol w:w="1160"/>
        <w:gridCol w:w="1600"/>
      </w:tblGrid>
      <w:tr w:rsidR="00B1010B" w:rsidRPr="003F7927" w14:paraId="3F6699DB" w14:textId="77777777" w:rsidTr="00B54C8E">
        <w:trPr>
          <w:trHeight w:val="37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FFD966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0B8CF3" w14:textId="77777777" w:rsidR="00B1010B" w:rsidRPr="00B1010B" w:rsidRDefault="00B1010B" w:rsidP="00B54C8E">
            <w:pPr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</w:pPr>
            <w:proofErr w:type="spellStart"/>
            <w:r w:rsidRPr="00B1010B"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  <w:t>Artnr</w:t>
            </w:r>
            <w:proofErr w:type="spellEnd"/>
          </w:p>
        </w:tc>
        <w:tc>
          <w:tcPr>
            <w:tcW w:w="5060" w:type="dxa"/>
            <w:tcBorders>
              <w:top w:val="single" w:sz="8" w:space="0" w:color="auto"/>
              <w:left w:val="single" w:sz="4" w:space="0" w:color="auto"/>
              <w:bottom w:val="single" w:sz="4" w:space="0" w:color="FFD966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23031B" w14:textId="77777777" w:rsidR="00B1010B" w:rsidRPr="00B1010B" w:rsidRDefault="00B1010B" w:rsidP="00B54C8E">
            <w:pPr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</w:pPr>
            <w:r w:rsidRPr="00B1010B"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  <w:t>Beskrivning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FFD966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67EE770" w14:textId="77777777" w:rsidR="00B1010B" w:rsidRPr="00B1010B" w:rsidRDefault="00B1010B" w:rsidP="00B54C8E">
            <w:pPr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</w:pPr>
            <w:r w:rsidRPr="00B1010B"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  <w:t>Antal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FFD966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347C3F" w14:textId="77777777" w:rsidR="00B1010B" w:rsidRPr="00B1010B" w:rsidRDefault="00B1010B" w:rsidP="00B54C8E">
            <w:pPr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</w:pPr>
            <w:r w:rsidRPr="00B1010B"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  <w:t>Pris/st.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FFD966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90CFAD2" w14:textId="77777777" w:rsidR="00B1010B" w:rsidRPr="00B1010B" w:rsidRDefault="00B1010B" w:rsidP="00B54C8E">
            <w:pPr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</w:pPr>
            <w:r w:rsidRPr="00B1010B">
              <w:rPr>
                <w:rFonts w:ascii="Arial" w:eastAsia="Times New Roman" w:hAnsi="Arial" w:cs="Arial"/>
                <w:b/>
                <w:bCs/>
                <w:color w:val="FFFFFF"/>
                <w:lang w:eastAsia="sv-SE"/>
              </w:rPr>
              <w:t>Pris totalt</w:t>
            </w:r>
          </w:p>
        </w:tc>
      </w:tr>
      <w:tr w:rsidR="00B1010B" w:rsidRPr="003F7927" w14:paraId="4F9A78E0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23C2BB76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960–001224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0A61376D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Logitech Rally Plus - paket för videokonferens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6B965A47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4CB598D4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23 995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E699" w:fill="FFE699"/>
            <w:noWrap/>
            <w:vAlign w:val="bottom"/>
            <w:hideMark/>
          </w:tcPr>
          <w:p w14:paraId="4279EB52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23 995 kr</w:t>
            </w:r>
          </w:p>
        </w:tc>
      </w:tr>
      <w:tr w:rsidR="00B1010B" w:rsidRPr="003F7927" w14:paraId="53206D1D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6E261D7E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939–001644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72F8DC33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Logitech Rally - monteringssats till videokonferens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511F3AB7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59116C3F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1 885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2CC" w:fill="FFF2CC"/>
            <w:noWrap/>
            <w:vAlign w:val="bottom"/>
            <w:hideMark/>
          </w:tcPr>
          <w:p w14:paraId="17B70882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1 885 kr</w:t>
            </w:r>
          </w:p>
        </w:tc>
      </w:tr>
      <w:tr w:rsidR="00B1010B" w:rsidRPr="003F7927" w14:paraId="6B5DE5C4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7A7DE6CC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939–001647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2969B0D0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Logitech Rally Mic Pod Hub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39507054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6474977E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2 265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E699" w:fill="FFE699"/>
            <w:noWrap/>
            <w:vAlign w:val="bottom"/>
            <w:hideMark/>
          </w:tcPr>
          <w:p w14:paraId="6525AAC2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2 265 kr</w:t>
            </w:r>
          </w:p>
        </w:tc>
      </w:tr>
      <w:tr w:rsidR="00B1010B" w:rsidRPr="003F7927" w14:paraId="123BB0DC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145157B6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939–001656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5AB61D2D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Logitech TV MOUNT XL - kamerafäste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0295336A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5B1F1AC7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1 289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2CC" w:fill="FFF2CC"/>
            <w:noWrap/>
            <w:vAlign w:val="bottom"/>
            <w:hideMark/>
          </w:tcPr>
          <w:p w14:paraId="6476D434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1 289 kr</w:t>
            </w:r>
          </w:p>
        </w:tc>
      </w:tr>
      <w:tr w:rsidR="00B1010B" w:rsidRPr="003F7927" w14:paraId="2090AAA4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25C612B8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TAPMSTBASE/2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5CC20D61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Logitech Tap for Microsoft Teams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71CBABF6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2E08CEA2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25 828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E699" w:fill="FFE699"/>
            <w:noWrap/>
            <w:vAlign w:val="bottom"/>
            <w:hideMark/>
          </w:tcPr>
          <w:p w14:paraId="2EB2A5C2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25 828 kr</w:t>
            </w:r>
          </w:p>
        </w:tc>
      </w:tr>
      <w:tr w:rsidR="00B1010B" w:rsidRPr="003F7927" w14:paraId="68E34B48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284FFF9C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USB3SAB10M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7BE3C856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StarTech.com 30ft USB 3.0 USB-A to USB-B Cable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6EA80843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245A2A86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1 874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2CC" w:fill="FFF2CC"/>
            <w:noWrap/>
            <w:vAlign w:val="bottom"/>
            <w:hideMark/>
          </w:tcPr>
          <w:p w14:paraId="7E926133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1 874 kr</w:t>
            </w:r>
          </w:p>
        </w:tc>
      </w:tr>
      <w:tr w:rsidR="00B1010B" w:rsidRPr="003F7927" w14:paraId="68DB4C54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36A65520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65TR3BF-B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1C548160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LG 65TR3BF-B Signage Monitor 65inch UHD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33A66D29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221BE98B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20 221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E699" w:fill="FFE699"/>
            <w:noWrap/>
            <w:vAlign w:val="bottom"/>
            <w:hideMark/>
          </w:tcPr>
          <w:p w14:paraId="53EA092D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20 221 kr</w:t>
            </w:r>
          </w:p>
        </w:tc>
      </w:tr>
      <w:tr w:rsidR="00B1010B" w:rsidRPr="003F7927" w14:paraId="5A0B3CD5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7BFD6634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C281U018-1A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6EB50181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SMS </w:t>
            </w:r>
            <w:proofErr w:type="spellStart"/>
            <w:r w:rsidRPr="00B1010B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Func</w:t>
            </w:r>
            <w:proofErr w:type="spellEnd"/>
            <w:r w:rsidRPr="00B1010B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 </w:t>
            </w:r>
            <w:proofErr w:type="spellStart"/>
            <w:r w:rsidRPr="00B1010B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Bracky</w:t>
            </w:r>
            <w:proofErr w:type="spellEnd"/>
            <w:r w:rsidRPr="00B1010B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 Landscape Stretch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6474E532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40E13205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726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2CC" w:fill="FFF2CC"/>
            <w:noWrap/>
            <w:vAlign w:val="bottom"/>
            <w:hideMark/>
          </w:tcPr>
          <w:p w14:paraId="7E64BAC4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726 kr</w:t>
            </w:r>
          </w:p>
        </w:tc>
      </w:tr>
      <w:tr w:rsidR="00B1010B" w:rsidRPr="003F7927" w14:paraId="2DF69087" w14:textId="77777777" w:rsidTr="00B54C8E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49B08059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5.</w:t>
            </w:r>
            <w:proofErr w:type="gramStart"/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01038.7043</w:t>
            </w:r>
            <w:proofErr w:type="gram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4AD1F800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Mjuk Golvlist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64E14F55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345A7346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2 029 kr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E699" w:fill="FFE699"/>
            <w:noWrap/>
            <w:vAlign w:val="bottom"/>
            <w:hideMark/>
          </w:tcPr>
          <w:p w14:paraId="4DFD4136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2 029 kr</w:t>
            </w:r>
          </w:p>
        </w:tc>
      </w:tr>
      <w:tr w:rsidR="00B1010B" w:rsidRPr="003F7927" w14:paraId="51597EE2" w14:textId="77777777" w:rsidTr="00B54C8E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A318D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2BE8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70637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24170" w14:textId="77777777" w:rsidR="00B1010B" w:rsidRPr="00B1010B" w:rsidRDefault="00B1010B" w:rsidP="00B1010B">
            <w:pPr>
              <w:spacing w:after="80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CAD0E78" w14:textId="77777777" w:rsidR="00B1010B" w:rsidRPr="00B1010B" w:rsidRDefault="00B1010B" w:rsidP="00B1010B">
            <w:pPr>
              <w:spacing w:after="80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1010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80 112 kr</w:t>
            </w:r>
          </w:p>
        </w:tc>
      </w:tr>
    </w:tbl>
    <w:p w14:paraId="4B94D5A5" w14:textId="77777777" w:rsidR="00B1010B" w:rsidRPr="00AE6CDD" w:rsidRDefault="00B1010B" w:rsidP="00B1010B"/>
    <w:p w14:paraId="40E502DD" w14:textId="77777777" w:rsidR="00B1010B" w:rsidRPr="00B1010B" w:rsidRDefault="00B1010B" w:rsidP="00B1010B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B1010B">
        <w:rPr>
          <w:rFonts w:ascii="Arial" w:hAnsi="Arial" w:cs="Arial"/>
          <w:color w:val="auto"/>
          <w:sz w:val="28"/>
          <w:szCs w:val="28"/>
        </w:rPr>
        <w:t>Pris Installation</w:t>
      </w:r>
    </w:p>
    <w:p w14:paraId="77663495" w14:textId="77777777" w:rsidR="006F52E9" w:rsidRPr="00B1010B" w:rsidRDefault="00B1010B" w:rsidP="006F52E9">
      <w:pPr>
        <w:rPr>
          <w:rFonts w:ascii="Times New Roman" w:hAnsi="Times New Roman" w:cs="Times New Roman"/>
          <w:sz w:val="20"/>
          <w:szCs w:val="20"/>
        </w:rPr>
      </w:pPr>
      <w:r w:rsidRPr="00B1010B">
        <w:rPr>
          <w:rFonts w:ascii="Times New Roman" w:hAnsi="Times New Roman" w:cs="Times New Roman"/>
          <w:sz w:val="20"/>
          <w:szCs w:val="20"/>
        </w:rPr>
        <w:t>13 600 SEK exkl. förbrukningsmaterial</w:t>
      </w:r>
    </w:p>
    <w:sectPr w:rsidR="006F52E9" w:rsidRPr="00B101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6C05" w14:textId="77777777" w:rsidR="00826055" w:rsidRDefault="00826055" w:rsidP="00466B94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826055" w:rsidRDefault="00826055" w:rsidP="0046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EF00" w14:textId="77777777" w:rsidR="00E36939" w:rsidRDefault="00E36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86DB9" w14:textId="77777777" w:rsidR="00466B94" w:rsidRDefault="00466B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74E9E3" wp14:editId="0777777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688242efa7d5960cb773adf8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9F31CB" w14:textId="77777777" w:rsidR="00466B94" w:rsidRPr="00466B94" w:rsidRDefault="00466B94" w:rsidP="00466B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4E9E3" id="_x0000_t202" coordsize="21600,21600" o:spt="202" path="m,l,21600r21600,l21600,xe">
              <v:stroke joinstyle="miter"/>
              <v:path gradientshapeok="t" o:connecttype="rect"/>
            </v:shapetype>
            <v:shape id="MSIPCM688242efa7d5960cb773adf8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FEMzquxAgAARg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049F31CB" w14:textId="77777777" w:rsidR="00466B94" w:rsidRPr="00466B94" w:rsidRDefault="00466B94" w:rsidP="00466B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B9AB" w14:textId="77777777" w:rsidR="00E36939" w:rsidRDefault="00E36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9056E" w14:textId="77777777" w:rsidR="00826055" w:rsidRDefault="00826055" w:rsidP="00466B94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826055" w:rsidRDefault="00826055" w:rsidP="0046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C669" w14:textId="77777777" w:rsidR="00E36939" w:rsidRDefault="00E36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D779" w14:textId="77777777" w:rsidR="00E36939" w:rsidRDefault="00E36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0818" w14:textId="77777777" w:rsidR="00E36939" w:rsidRDefault="00E36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366E6"/>
    <w:multiLevelType w:val="hybridMultilevel"/>
    <w:tmpl w:val="87EAB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2A02"/>
    <w:multiLevelType w:val="hybridMultilevel"/>
    <w:tmpl w:val="ED0C7A44"/>
    <w:lvl w:ilvl="0" w:tplc="635AFA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4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54B8"/>
    <w:multiLevelType w:val="multilevel"/>
    <w:tmpl w:val="525AA0C8"/>
    <w:lvl w:ilvl="0">
      <w:start w:val="1"/>
      <w:numFmt w:val="bullet"/>
      <w:pStyle w:val="List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2" w:hanging="284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o"/>
      <w:lvlJc w:val="left"/>
      <w:pPr>
        <w:ind w:left="1136" w:hanging="284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40" w:hanging="284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E9"/>
    <w:rsid w:val="0004264D"/>
    <w:rsid w:val="00466B94"/>
    <w:rsid w:val="006F52E9"/>
    <w:rsid w:val="00826055"/>
    <w:rsid w:val="008865DC"/>
    <w:rsid w:val="008B3812"/>
    <w:rsid w:val="00B1010B"/>
    <w:rsid w:val="00B60921"/>
    <w:rsid w:val="00E36939"/>
    <w:rsid w:val="00F21D25"/>
    <w:rsid w:val="1E98D311"/>
    <w:rsid w:val="284939A1"/>
    <w:rsid w:val="2D8D5BEF"/>
    <w:rsid w:val="37E99B94"/>
    <w:rsid w:val="3E01F376"/>
    <w:rsid w:val="53868F9D"/>
    <w:rsid w:val="5A0D12DB"/>
    <w:rsid w:val="6308C1D5"/>
    <w:rsid w:val="6A178F29"/>
    <w:rsid w:val="6A7ABCA4"/>
    <w:rsid w:val="76AFEF59"/>
    <w:rsid w:val="7B8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1A2FF"/>
  <w15:chartTrackingRefBased/>
  <w15:docId w15:val="{1127BB3A-EA91-45F4-BB68-CBF4D1EF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2E9"/>
  </w:style>
  <w:style w:type="paragraph" w:styleId="Heading1">
    <w:name w:val="heading 1"/>
    <w:basedOn w:val="Normal"/>
    <w:next w:val="Normal"/>
    <w:link w:val="Heading1Char"/>
    <w:uiPriority w:val="9"/>
    <w:qFormat/>
    <w:rsid w:val="006F5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D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52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5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94"/>
  </w:style>
  <w:style w:type="paragraph" w:styleId="Footer">
    <w:name w:val="footer"/>
    <w:basedOn w:val="Normal"/>
    <w:link w:val="FooterChar"/>
    <w:uiPriority w:val="99"/>
    <w:unhideWhenUsed/>
    <w:rsid w:val="00466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9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10B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ListBullet">
    <w:name w:val="List Bullet"/>
    <w:basedOn w:val="Normal"/>
    <w:uiPriority w:val="3"/>
    <w:qFormat/>
    <w:rsid w:val="00F21D25"/>
    <w:pPr>
      <w:numPr>
        <w:numId w:val="3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21D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1B8755CF1A14B8B32DC160E8DB023" ma:contentTypeVersion="12" ma:contentTypeDescription="Create a new document." ma:contentTypeScope="" ma:versionID="2cbd0500d3a9db4f7f6e544cc841fe02">
  <xsd:schema xmlns:xsd="http://www.w3.org/2001/XMLSchema" xmlns:xs="http://www.w3.org/2001/XMLSchema" xmlns:p="http://schemas.microsoft.com/office/2006/metadata/properties" xmlns:ns2="3f601592-0047-4c97-85c5-afbbbf6a3786" xmlns:ns3="6b599f92-599c-4030-af36-64fd5d6638bd" targetNamespace="http://schemas.microsoft.com/office/2006/metadata/properties" ma:root="true" ma:fieldsID="0cc329e6fd9859edf7a1ceea857fd170" ns2:_="" ns3:_="">
    <xsd:import namespace="3f601592-0047-4c97-85c5-afbbbf6a3786"/>
    <xsd:import namespace="6b599f92-599c-4030-af36-64fd5d6638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1592-0047-4c97-85c5-afbbbf6a3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9f92-599c-4030-af36-64fd5d663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01F19-857E-4314-9CBE-7E2D181259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65D5C-136B-49A2-92A9-406BFD10C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047CD-1456-4153-8CE2-AE85CC91A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1592-0047-4c97-85c5-afbbbf6a3786"/>
    <ds:schemaRef ds:uri="6b599f92-599c-4030-af36-64fd5d663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Jämtner</dc:creator>
  <cp:keywords>IUC</cp:keywords>
  <dc:description/>
  <cp:lastModifiedBy>Ronnie Heidenborn</cp:lastModifiedBy>
  <cp:revision>7</cp:revision>
  <dcterms:created xsi:type="dcterms:W3CDTF">2020-08-11T11:14:00Z</dcterms:created>
  <dcterms:modified xsi:type="dcterms:W3CDTF">2020-08-24T07:12:00Z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False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christoffer.jamtner@atea.se</vt:lpwstr>
  </property>
  <property fmtid="{D5CDD505-2E9C-101B-9397-08002B2CF9AE}" pid="5" name="MSIP_Label_18450391-6d50-49e0-a466-bfda2ff2a5e1_SetDate">
    <vt:lpwstr>2020-08-11T13:21:38.0026920Z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ActionId">
    <vt:lpwstr>e6ab94b4-f555-4f83-b568-6db1e20f953a</vt:lpwstr>
  </property>
  <property fmtid="{D5CDD505-2E9C-101B-9397-08002B2CF9AE}" pid="9" name="MSIP_Label_18450391-6d50-49e0-a466-bfda2ff2a5e1_Extended_MSFT_Method">
    <vt:lpwstr>Automatic</vt:lpwstr>
  </property>
  <property fmtid="{D5CDD505-2E9C-101B-9397-08002B2CF9AE}" pid="10" name="ContentTypeId">
    <vt:lpwstr>0x010100E051B8755CF1A14B8B32DC160E8DB023</vt:lpwstr>
  </property>
</Properties>
</file>